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C7A00"/>
          <w:sz w:val="18"/>
          <w:szCs w:val="18"/>
        </w:rPr>
        <w:t xml:space="preserve">SanctumShield · AI governance you can prove</w:t>
      </w:r>
    </w:p>
    <w:p>
      <w:pPr>
        <w:pStyle w:val="Heading1"/>
        <w:spacing w:after="120" w:before="60"/>
      </w:pPr>
      <w:r>
        <w:rPr>
          <w:b/>
          <w:bCs/>
        </w:rPr>
        <w:t xml:space="preserve">Responsibility Register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Last updated: October 27, 2026</w:t>
      </w:r>
    </w:p>
    <w:p>
      <w:pPr>
        <w:spacing w:after="100"/>
      </w:pPr>
      <w:r>
        <w:rPr>
          <w:b/>
          <w:bCs/>
        </w:rPr>
        <w:t xml:space="preserve">Who holds each AI governance responsibility today, by name.</w:t>
      </w:r>
    </w:p>
    <w:p>
      <w:pPr>
        <w:spacing w:after="100"/>
      </w:pPr>
      <w:r>
        <w:t xml:space="preserve">Most organizations have the responsibilities without the titles. A regulator or an underwriter asks for the name, not the title. One name per row, a backup, and a date you last checked that it was still true.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Educational template, not legal advice.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Responsibility</w:t>
            </w:r>
          </w:p>
        </w:tc>
        <w:tc>
          <w:tcPr>
            <w:tcW w:type="pct" w:w="30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What it covers</w:t>
            </w:r>
          </w:p>
        </w:tc>
        <w:tc>
          <w:tcPr>
            <w:tcW w:type="pct" w:w="16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Holder (one name)</w:t>
            </w:r>
          </w:p>
        </w:tc>
        <w:tc>
          <w:tcPr>
            <w:tcW w:type="pct" w:w="14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Title today</w:t>
            </w:r>
          </w:p>
        </w:tc>
        <w:tc>
          <w:tcPr>
            <w:tcW w:type="pct" w:w="12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Backup</w:t>
            </w:r>
          </w:p>
        </w:tc>
        <w:tc>
          <w:tcPr>
            <w:tcW w:type="pct" w:w="10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Last reviewed</w:t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Trust engineering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Validates that AI systems conform to regulation and to contract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Agentic workflow assurance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Keeps the end-to-end chain of automated decisions behind each critical service documented and reviewed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AI testing and red-team coordination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Schedules and records jailbreak, prompt-injection and content-safety testing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AI governance advice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Owns the AI Acceptable Use Policy and the register's review cadence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AI security operations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Operates and reviews the guardrails and the gateways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AI forensics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Reconstructs what an agent did, from logs, after an incident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Incident signatory (per agent)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Signs the incident report when an AI agent causes the incident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Runtime control owner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Owns the per-action record that shows the action an agent executed is the one that was authorized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Stop authority (per agent)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Can stop or pause the agent mid-task, and records the date that stop was last exercised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Change approver (per agent)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Approves the changes an agent proposes, its scheduled tasks and any running past its quota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Spend owner (per agent)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Owns what the agent spends and its cap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MCP gateway owner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Owns each gateway or connector and the list of systems behind it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Document-grounded answers reviewer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Checks the cited document, version and page before an AI answer is used in a consequential decision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Personal-account AI rule owner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Owns the staff rule on personal AI accounts and personal devices with company data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</w:tbl>
    <w:p>
      <w:pPr>
        <w:spacing w:after="100"/>
      </w:pPr>
      <w:r>
        <w:rPr>
          <w:b/>
          <w:bCs/>
        </w:rPr>
        <w:t xml:space="preserve">How to use it. </w:t>
      </w:r>
      <w:r>
        <w:t xml:space="preserve">One accountable name per row, never a team. Where one person holds several rows, write the name several times; the point is that the question “who?” has an answer. Review the page when a holder changes role and at least quarterly. The AI Acceptable Use Policy generated by SanctumShield lists the same holders in its deployed-agent section, so the two records agree.</w:t>
      </w:r>
    </w:p>
    <w:p>
      <w:pPr>
        <w:spacing w:after="100"/>
      </w:pPr>
      <w:r>
        <w:t xml:space="preserve">Governance is an ongoing program, never a one-time audit. Date this page when you fill it in, and again when you review it.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Free, and there is nothing to sign up for. The Board AI Register and the free Shadow AI Check are at sanctumshield.com/templates and sanctumshield.com/check. The Academy covers who holds what in module M6 (Stakeholder Map &amp; RACI): academy.sanctumshield.com/curriculum.</w:t>
      </w:r>
    </w:p>
    <w:p>
      <w:pPr>
        <w:spacing w:before="240"/>
      </w:pPr>
      <w:r>
        <w:rPr>
          <w:color w:val="888888"/>
          <w:sz w:val="16"/>
          <w:szCs w:val="16"/>
        </w:rPr>
        <w:t xml:space="preserve">© PIGENAI LLC · SanctumShield · sanctumshield.com · Last updated October 27, 2026 · This is an educational template,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2026-10-27T05:59:25.329Z</dcterms:created>
  <dcterms:modified xsi:type="dcterms:W3CDTF">2026-10-27T05:59:25.329Z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