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Agentic Governance for the Other 99%</w:t>
      </w:r>
    </w:p>
    <w:p>
      <w:pPr>
        <w:pStyle w:val="Heading1"/>
        <w:spacing w:after="120" w:before="60"/>
      </w:pPr>
      <w:r>
        <w:rPr>
          <w:b/>
          <w:bCs/>
        </w:rPr>
        <w:t xml:space="preserve">AI Vendor Trust Questionnaire — 10 Questions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Last updated: October 27, 2026</w:t>
      </w:r>
    </w:p>
    <w:p>
      <w:pPr>
        <w:spacing w:after="100"/>
      </w:pPr>
      <w:r>
        <w:rPr>
          <w:b/>
          <w:bCs/>
        </w:rPr>
        <w:t xml:space="preserve">Audience: </w:t>
      </w:r>
      <w:r>
        <w:t xml:space="preserve">mid-market buyers (50–2,000 employees) evaluating any product that ships an AI agent.</w:t>
      </w:r>
    </w:p>
    <w:p>
      <w:pPr>
        <w:spacing w:after="100"/>
      </w:pPr>
      <w:r>
        <w:rPr>
          <w:b/>
          <w:bCs/>
        </w:rPr>
        <w:t xml:space="preserve">How to use this copy. </w:t>
      </w:r>
      <w:r>
        <w:t xml:space="preserve">Send the questions, then type each answer into the box beneath it. A straight, specific answer is a good sign; evasion is data. Pay special attention to the non-negotiables (questions 2, 4, and 6). If you accept a weak answer, note who accepted it — that is your record.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Not legal advice: a decision aid that informs your own procurement and legal review.</w:t>
      </w:r>
    </w:p>
    <w:p>
      <w:r>
        <w:t xml:space="preserve"/>
      </w:r>
    </w:p>
    <w:p>
      <w:pPr>
        <w:spacing w:after="40" w:before="180"/>
      </w:pPr>
      <w:r>
        <w:rPr>
          <w:b/>
          <w:bCs/>
          <w:sz w:val="24"/>
          <w:szCs w:val="24"/>
        </w:rPr>
        <w:t xml:space="preserve">1. Does each AI agent have its own unique identity, or do agents share API keys?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unique, attributable identity per agent. Watch for: shared API keys / one service account.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2. If my agent's credential leaks, what can an attacker reach with it?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token isolation — a leaked credential reaches almost nothing. Watch for: broad standing access, long-lived tokens.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3. Can I set exactly what tools and data my agent may use — enforced outside the model?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tool/data envelope enforced by the platform. Watch for: “guardrails are in the system prompt.”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4. What does your agent do when it's denied access to something?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it stops and logs the denial. Watch for: “it retries another way” / works around it.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5. Can I see a complete log of every action my agent took — and is it tamper-evident?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full, exportable, tamper-evident logs. Watch for: partial or editable logs, short retention.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6. What's your kill-switch time — how fast can I fully stop a misbehaving agent?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fast, self-serve kill switch with a stated time. Watch for: “open a support ticket,” no number.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7. Do you support autonomy levels and human-approval gates?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configurable autonomy levels + approval gates. Watch for: all-or-nothing autonomy.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8. How do you vet the third-party tools/plugins your agent can call?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an allow-list you control + connector vetting. Watch for: open plugin ecosystem, no boundary.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9. Will you notify me within 24 hours if your AI subprocessor chain is breached?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stated notification timeframe + subprocessor transparency. Watch for: no SLA, no visibility.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10. Which framework do you map to — OWASP Agentic Top 10, CSA ATF, NIST AI RMF?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named framework they can map to. Watch for: “we take security seriously” with no mapping.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b/>
          <w:bCs/>
        </w:rPr>
        <w:t xml:space="preserve">Five follow-up questions (when the agent connects to your systems or acts on its own)</w:t>
      </w:r>
    </w:p>
    <w:p>
      <w:pPr>
        <w:spacing w:after="40" w:before="180"/>
      </w:pPr>
      <w:r>
        <w:rPr>
          <w:b/>
          <w:bCs/>
          <w:sz w:val="24"/>
          <w:szCs w:val="24"/>
        </w:rPr>
        <w:t xml:space="preserve">11. Does your agent reach our systems through an MCP gateway or connectors, and can we see and limit which systems sit behind each connection?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list of every system behind each connection, scoped per connection, with named owners. Watch for: one connection with blanket reach.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12. Can your agent start subagents or hand work to other agents, and are those exchanges logged where we can see them?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subagents off unless enabled; every agent-to-agent exchange in the same exportable log. Watch for: subagents that inherit full permissions.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13. Can your agent write to our systems, run on a schedule or keep running past its usage quota, and can we require a named approver for changes it proposes?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write actions, schedules and past-quota running as separate settings you control; proposed changes wait for a named approver. Watch for: quotas that silently extend.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14. When your agent answers from our documents, does each answer cite the document, version and page or section?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every answer carries a source location a reviewer can open. Watch for: a source with no version.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15. When did you last test the stop described in question 6, and what happened?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date, the person who ran it, and the result. Watch for: a documented stop that has never been exercised.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Vendor's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b/>
          <w:bCs/>
        </w:rPr>
        <w:t xml:space="preserve">Guardrails honored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decision aid: no score here attests compliance or safety; it informs your risk decision.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No guarantee of outcome. Framework references describe what to look for, not a warranty.</w:t>
      </w:r>
    </w:p>
    <w:p>
      <w:pPr>
        <w:pStyle w:val="Heading2"/>
        <w:spacing w:after="80" w:before="220"/>
      </w:pPr>
      <w:r>
        <w:rPr>
          <w:b/>
          <w:bCs/>
        </w:rPr>
        <w:t xml:space="preserve">Sources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OWASP GenAI Security Project, </w:t>
      </w:r>
      <w:r>
        <w:rPr>
          <w:i/>
          <w:iCs/>
        </w:rPr>
        <w:t xml:space="preserve">OWASP Top 10 for Agentic Applications (2026)</w:t>
      </w:r>
      <w:r>
        <w:t xml:space="preserve"> (ASI01–ASI10) — </w:t>
      </w:r>
      <w:hyperlink w:history="1" r:id="rIddijgw81gockhnhpwpemuk">
        <w:r>
          <w:rPr>
            <w:rStyle w:val="Hyperlink"/>
          </w:rPr>
          <w:t xml:space="preserve">genai.owasp.org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Cloud Security Alliance, </w:t>
      </w:r>
      <w:r>
        <w:rPr>
          <w:i/>
          <w:iCs/>
        </w:rPr>
        <w:t xml:space="preserve">The Agentic Trust Framework</w:t>
      </w:r>
      <w:r>
        <w:t xml:space="preserve"> (Feb 2, 2026) — </w:t>
      </w:r>
      <w:hyperlink w:history="1" r:id="rId046oojg0ghwmguu9qbobk">
        <w:r>
          <w:rPr>
            <w:rStyle w:val="Hyperlink"/>
          </w:rPr>
          <w:t xml:space="preserve">cloudsecurityalliance.org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Cunningham, C. </w:t>
      </w:r>
      <w:r>
        <w:rPr>
          <w:i/>
          <w:iCs/>
        </w:rPr>
        <w:t xml:space="preserve">Agentic Zero Trust</w:t>
      </w:r>
      <w:r>
        <w:t xml:space="preserve"> v3.0 (May 2026), Cequence — </w:t>
      </w:r>
      <w:hyperlink w:history="1" r:id="rIdjigffvaf1dlx1fksfoitw">
        <w:r>
          <w:rPr>
            <w:rStyle w:val="Hyperlink"/>
          </w:rPr>
          <w:t xml:space="preserve">cequence.ai/agentic-zero-trust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NIST, </w:t>
      </w:r>
      <w:r>
        <w:rPr>
          <w:i/>
          <w:iCs/>
        </w:rPr>
        <w:t xml:space="preserve">AI Risk Management Framework (AI RMF 1.0)</w:t>
      </w:r>
      <w:r>
        <w:t xml:space="preserve"> — </w:t>
      </w:r>
      <w:hyperlink w:history="1" r:id="rIdigpprhyobytcjjjb96x_q">
        <w:r>
          <w:rPr>
            <w:rStyle w:val="Hyperlink"/>
          </w:rPr>
          <w:t xml:space="preserve">nist.gov</w:t>
        </w:r>
      </w:hyperlink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Last updated October 27, 2026 · This is an educational template,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jgw81gockhnhpwpemuk" Type="http://schemas.openxmlformats.org/officeDocument/2006/relationships/hyperlink" Target="https://genai.owasp.org/resource/owasp-top-10-for-agentic-applications-for-2026/" TargetMode="External"/><Relationship Id="rId046oojg0ghwmguu9qbobk" Type="http://schemas.openxmlformats.org/officeDocument/2006/relationships/hyperlink" Target="https://cloudsecurityalliance.org/blog/2026/02/02/the-agentic-trust-framework-zero-trust-governance-for-ai-agents" TargetMode="External"/><Relationship Id="rIdjigffvaf1dlx1fksfoitw" Type="http://schemas.openxmlformats.org/officeDocument/2006/relationships/hyperlink" Target="https://www.cequence.ai/agentic-zero-trust/" TargetMode="External"/><Relationship Id="rIdigpprhyobytcjjjb96x_q" Type="http://schemas.openxmlformats.org/officeDocument/2006/relationships/hyperlink" Target="https://www.nist.gov/itl/ai-risk-management-framework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2026-10-27T05:59:25.436Z</dcterms:created>
  <dcterms:modified xsi:type="dcterms:W3CDTF">2026-10-27T05:59:25.436Z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