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Agentic Governance for the Other 99%</w:t>
      </w:r>
    </w:p>
    <w:p>
      <w:pPr>
        <w:pStyle w:val="Heading1"/>
        <w:spacing w:after="120" w:before="60"/>
      </w:pPr>
      <w:r>
        <w:rPr>
          <w:b/>
          <w:bCs/>
        </w:rPr>
        <w:t xml:space="preserve">AI Agent Acceptable Use Policy — One-Pager Template</w:t>
      </w:r>
    </w:p>
    <w:p>
      <w:pPr>
        <w:spacing w:after="120"/>
      </w:pPr>
      <w:r>
        <w:rPr>
          <w:color w:val="666666"/>
          <w:sz w:val="18"/>
          <w:szCs w:val="18"/>
        </w:rPr>
        <w:t xml:space="preserve">Last updated: October 27, 2026</w:t>
      </w:r>
    </w:p>
    <w:p>
      <w:pPr>
        <w:spacing w:after="100"/>
      </w:pPr>
      <w:r>
        <w:rPr>
          <w:b/>
          <w:bCs/>
        </w:rPr>
        <w:t xml:space="preserve">Audience: </w:t>
      </w:r>
      <w:r>
        <w:t xml:space="preserve">mid-market organizations (50–2,000 employees) with a 1–3 person security/IT team and no platform-engineering group.</w:t>
      </w:r>
    </w:p>
    <w:p>
      <w:pPr>
        <w:spacing w:after="100"/>
      </w:pPr>
      <w:r>
        <w:rPr>
          <w:b/>
          <w:bCs/>
        </w:rPr>
        <w:t xml:space="preserve">What this is. </w:t>
      </w:r>
      <w:r>
        <w:t xml:space="preserve">A one-page, fill-in governance record you complete per AI agent or agent class. Cunningham's core idea: the agent's job description IS the policy — everything it may touch is written down; everything else is prohibited by omission, and any off-spec action is a reportable incident.</w:t>
      </w:r>
    </w:p>
    <w:p>
      <w:pPr>
        <w:pStyle w:val="Heading2"/>
        <w:spacing w:after="80" w:before="220"/>
      </w:pPr>
      <w:r>
        <w:rPr>
          <w:b/>
          <w:bCs/>
        </w:rPr>
        <w:t xml:space="preserve">How to fill it in (about 30 minutes)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Make one copy for each AI tool or agent.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Write its job in one sentence — that sentence is the rule.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List exactly what it may touch. Everything you don't list is prohibited.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Say how it signs in — its own account or a shared key (a shared key is a weakness worth noting).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Pick an autonomy level. New tools start at Intern (look-only).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Name one accountable person — a name, not a team.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Write 3–5 “never do this” lines, then sign it and set a review date.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Not legal advice, and no software to install. This is a record you keep; SanctumShield does not run or control your agents.</w:t>
      </w:r>
    </w:p>
    <w:p>
      <w:pPr>
        <w:pStyle w:val="Heading2"/>
        <w:spacing w:after="80" w:before="220"/>
      </w:pPr>
      <w:r>
        <w:rPr>
          <w:b/>
          <w:bCs/>
        </w:rPr>
        <w:t xml:space="preserve">FRONT OF PAGE — the record (one per agent)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6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Field</w:t>
            </w:r>
          </w:p>
        </w:tc>
        <w:tc>
          <w:tcPr>
            <w:tcW w:type="pct" w:w="44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What to write</w:t>
            </w:r>
          </w:p>
        </w:tc>
        <w:tc>
          <w:tcPr>
            <w:tcW w:type="pct" w:w="30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Your entry</w:t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Agent name &amp; vendor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What it is and who makes it.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Agent identity (non-human)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Its own unique identity/credential, or a shared API key/login? A shared key is a gap — note it and a plan to move to a unique identity.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Job description (persona)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One sentence: what was this deployed to do? This sentence is the policy.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Tool envelope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Exactly what it may touch — which data, which systems, which actions. Everything not listed is prohibited. If it answers from company documents for a filing, a contract or a consequential decision, each answer cites the document, version and page or section.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Connections (MCP gateway or connectors)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The gateway or connectors that give it reach into business systems, the systems behind them, and who owns that connection.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Other agents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Can it start subagents or hand work to other agents? If so, where those agent-to-agent exchanges are logged.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Changes it may make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The systems it may write to; whether it runs on a schedule; whether it may keep running past its usage quota; the named person who approves the changes it proposes.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Spend owner and cap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Who owns what it spends, the cap, and confirmation that the platform's terms for agents are reflected in your AUP.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Who can stop it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The named person who can stop or pause it mid-task, the date that stop was last exercised (or “never”), and whether the agent has changed since.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Autonomy level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Intern / Junior / Senior / Principal (see the ladder below). New agents start at Intern.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Named human owner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One accountable person — a name, not a team or distribution list.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Prohibited actions (3–5 red lines)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Explicit “never” list (e.g., no outbound email; no secrets; no bulk export/delete; no production writes; no spend without approval).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Off-spec = incident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Confirm: any action outside the job description is reported like a security event, and to whom.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c>
          <w:tcPr>
            <w:tcW w:type="pct" w:w="26%"/>
          </w:tcPr>
          <w:p>
            <w:pPr>
              <w:spacing w:after="100"/>
            </w:pPr>
            <w:r>
              <w:rPr>
                <w:b/>
                <w:bCs/>
              </w:rPr>
              <w:t xml:space="preserve">Review date</w:t>
            </w:r>
          </w:p>
        </w:tc>
        <w:tc>
          <w:tcPr>
            <w:tcW w:type="pct" w:w="44%"/>
          </w:tcPr>
          <w:p>
            <w:r>
              <w:rPr>
                <w:sz w:val="18"/>
                <w:szCs w:val="18"/>
              </w:rPr>
              <w:t xml:space="preserve">Quarterly review by the named owner.</w:t>
            </w:r>
          </w:p>
        </w:tc>
        <w:tc>
          <w:tcPr>
            <w:tcW w:type="pct" w:w="30%"/>
            <w:shd w:fill="F4F6E8" w:val="clear"/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spacing w:after="100"/>
      </w:pPr>
      <w:r>
        <w:rPr>
          <w:b/>
          <w:bCs/>
        </w:rPr>
        <w:t xml:space="preserve">Owner sign-off:  </w:t>
      </w:r>
      <w:r>
        <w:t xml:space="preserve">Name __________________   Signature __________________   Date ____ / ____ / ______</w:t>
      </w:r>
    </w:p>
    <w:p>
      <w:pPr>
        <w:pStyle w:val="Heading2"/>
        <w:spacing w:after="80" w:before="220"/>
      </w:pPr>
      <w:r>
        <w:rPr>
          <w:b/>
          <w:bCs/>
        </w:rPr>
        <w:t xml:space="preserve">BACK OF PAGE — the autonomy ladder (reference)</w:t>
      </w:r>
    </w:p>
    <w:p>
      <w:pPr>
        <w:spacing w:after="100"/>
      </w:pPr>
      <w:r>
        <w:t xml:space="preserve">Autonomy is granted, not assumed. Every new agent starts as an Intern and is promoted only after it earns the next level.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Level</w:t>
            </w:r>
          </w:p>
        </w:tc>
        <w:tc>
          <w:tcPr>
            <w:tcW w:type="pct" w:w="40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What it may do</w:t>
            </w:r>
          </w:p>
        </w:tc>
        <w:tc>
          <w:tcPr>
            <w:tcW w:type="pct" w:w="28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Human involvement</w:t>
            </w:r>
          </w:p>
        </w:tc>
        <w:tc>
          <w:tcPr>
            <w:tcW w:type="pct" w:w="18%"/>
            <w:shd w:fill="12141B" w:val="clear"/>
          </w:tcPr>
          <w:p>
            <w:r>
              <w:rPr>
                <w:b/>
                <w:bCs/>
                <w:color w:val="FFFFFF"/>
              </w:rPr>
              <w:t xml:space="preserve">Who approves</w:t>
            </w:r>
          </w:p>
        </w:tc>
      </w:tr>
      <w:tr>
        <w:tc>
          <w:tcPr>
            <w:tcW w:type="pct" w:w="14%"/>
          </w:tcPr>
          <w:p>
            <w:r>
              <w:rPr>
                <w:b/>
                <w:bCs/>
                <w:sz w:val="18"/>
                <w:szCs w:val="18"/>
              </w:rPr>
              <w:t xml:space="preserve">Intern</w:t>
            </w:r>
          </w:p>
        </w:tc>
        <w:tc>
          <w:tcPr>
            <w:tcW w:type="pct" w:w="40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Read-only. Analyze, draft, recommend — cannot change any external system.</w:t>
            </w:r>
          </w:p>
        </w:tc>
        <w:tc>
          <w:tcPr>
            <w:tcW w:type="pct" w:w="2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Human does every action the agent proposes.</w:t>
            </w:r>
          </w:p>
        </w:tc>
        <w:tc>
          <w:tcPr>
            <w:tcW w:type="pct" w:w="1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Business owner</w:t>
            </w:r>
          </w:p>
        </w:tc>
      </w:tr>
      <w:tr>
        <w:tc>
          <w:tcPr>
            <w:tcW w:type="pct" w:w="14%"/>
          </w:tcPr>
          <w:p>
            <w:r>
              <w:rPr>
                <w:b/>
                <w:bCs/>
                <w:sz w:val="18"/>
                <w:szCs w:val="18"/>
              </w:rPr>
              <w:t xml:space="preserve">Junior</w:t>
            </w:r>
          </w:p>
        </w:tc>
        <w:tc>
          <w:tcPr>
            <w:tcW w:type="pct" w:w="40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Recommend specific actions; a human approves before anything executes.</w:t>
            </w:r>
          </w:p>
        </w:tc>
        <w:tc>
          <w:tcPr>
            <w:tcW w:type="pct" w:w="2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Explicit human approval on every action.</w:t>
            </w:r>
          </w:p>
        </w:tc>
        <w:tc>
          <w:tcPr>
            <w:tcW w:type="pct" w:w="1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Owner + IT/security sign-off</w:t>
            </w:r>
          </w:p>
        </w:tc>
      </w:tr>
      <w:tr>
        <w:tc>
          <w:tcPr>
            <w:tcW w:type="pct" w:w="14%"/>
          </w:tcPr>
          <w:p>
            <w:r>
              <w:rPr>
                <w:b/>
                <w:bCs/>
                <w:sz w:val="18"/>
                <w:szCs w:val="18"/>
              </w:rPr>
              <w:t xml:space="preserve">Senior</w:t>
            </w:r>
          </w:p>
        </w:tc>
        <w:tc>
          <w:tcPr>
            <w:tcW w:type="pct" w:w="40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Execute within defined guardrails and notify a human in real time.</w:t>
            </w:r>
          </w:p>
        </w:tc>
        <w:tc>
          <w:tcPr>
            <w:tcW w:type="pct" w:w="2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Oversight after the fact; humans spot-check.</w:t>
            </w:r>
          </w:p>
        </w:tc>
        <w:tc>
          <w:tcPr>
            <w:tcW w:type="pct" w:w="1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Formal review (owner + security + manager)</w:t>
            </w:r>
          </w:p>
        </w:tc>
      </w:tr>
      <w:tr>
        <w:tc>
          <w:tcPr>
            <w:tcW w:type="pct" w:w="14%"/>
          </w:tcPr>
          <w:p>
            <w:r>
              <w:rPr>
                <w:b/>
                <w:bCs/>
                <w:sz w:val="18"/>
                <w:szCs w:val="18"/>
              </w:rPr>
              <w:t xml:space="preserve">Principal</w:t>
            </w:r>
          </w:p>
        </w:tc>
        <w:tc>
          <w:tcPr>
            <w:tcW w:type="pct" w:w="40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Broad autonomy within its envelope; continuous validation.</w:t>
            </w:r>
          </w:p>
        </w:tc>
        <w:tc>
          <w:tcPr>
            <w:tcW w:type="pct" w:w="2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Continuous monitoring; humans intervene by exception.</w:t>
            </w:r>
          </w:p>
        </w:tc>
        <w:tc>
          <w:tcPr>
            <w:tcW w:type="pct" w:w="18%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Executive authorization + risk acceptance</w:t>
            </w:r>
          </w:p>
        </w:tc>
      </w:tr>
    </w:tbl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Rule of thumb: if you can't name the person who would be paged when this agent does something wrong, it isn't ready to be anything above Intern.</w:t>
      </w:r>
    </w:p>
    <w:p>
      <w:pPr>
        <w:spacing w:after="100"/>
      </w:pPr>
      <w:r>
        <w:rPr>
          <w:b/>
          <w:bCs/>
        </w:rPr>
        <w:t xml:space="preserve">Worked example and how this connects to the rest of SanctumShield: </w:t>
      </w:r>
      <w:hyperlink w:history="1" r:id="rIdpstbtr05xftam5reluqh9">
        <w:r>
          <w:rPr>
            <w:rStyle w:val="Hyperlink"/>
          </w:rPr>
          <w:t xml:space="preserve">see the web version</w:t>
        </w:r>
      </w:hyperlink>
      <w:r>
        <w:t xml:space="preserve">.</w:t>
      </w:r>
    </w:p>
    <w:p>
      <w:pPr>
        <w:pStyle w:val="Heading2"/>
        <w:spacing w:after="80" w:before="220"/>
      </w:pPr>
      <w:r>
        <w:rPr>
          <w:b/>
          <w:bCs/>
        </w:rPr>
        <w:t xml:space="preserve">Guardrails honored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No certification or accreditation language — this is an internal governance record, not an attestation of compliance.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No guarantee of legal/insurance outcome. The named owner remains accountable regardless of vendor or platform controls.</w:t>
      </w:r>
    </w:p>
    <w:p>
      <w:pPr>
        <w:pStyle w:val="Heading2"/>
        <w:spacing w:after="80" w:before="220"/>
      </w:pPr>
      <w:r>
        <w:rPr>
          <w:b/>
          <w:bCs/>
        </w:rPr>
        <w:t xml:space="preserve">Sources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OWASP GenAI Security Project, </w:t>
      </w:r>
      <w:r>
        <w:rPr>
          <w:i/>
          <w:iCs/>
        </w:rPr>
        <w:t xml:space="preserve">OWASP Top 10 for Agentic Applications (2026)</w:t>
      </w:r>
      <w:r>
        <w:t xml:space="preserve"> (ASI01–ASI10) — </w:t>
      </w:r>
      <w:hyperlink w:history="1" r:id="rIdajmlwkh1h623lja6i0us-">
        <w:r>
          <w:rPr>
            <w:rStyle w:val="Hyperlink"/>
          </w:rPr>
          <w:t xml:space="preserve">genai.owasp.org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Cloud Security Alliance, </w:t>
      </w:r>
      <w:r>
        <w:rPr>
          <w:i/>
          <w:iCs/>
        </w:rPr>
        <w:t xml:space="preserve">The Agentic Trust Framework</w:t>
      </w:r>
      <w:r>
        <w:t xml:space="preserve"> (Feb 2, 2026) — </w:t>
      </w:r>
      <w:hyperlink w:history="1" r:id="rIdtrgkzvmigubokqvtgmbce">
        <w:r>
          <w:rPr>
            <w:rStyle w:val="Hyperlink"/>
          </w:rPr>
          <w:t xml:space="preserve">cloudsecurityalliance.org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Cunningham, C. </w:t>
      </w:r>
      <w:r>
        <w:rPr>
          <w:i/>
          <w:iCs/>
        </w:rPr>
        <w:t xml:space="preserve">Agentic Zero Trust</w:t>
      </w:r>
      <w:r>
        <w:t xml:space="preserve"> v3.0 (May 2026), Cequence — </w:t>
      </w:r>
      <w:hyperlink w:history="1" r:id="rIdbk7xguomp2rgnlwihb-7q">
        <w:r>
          <w:rPr>
            <w:rStyle w:val="Hyperlink"/>
          </w:rPr>
          <w:t xml:space="preserve">cequence.ai/agentic-zero-trust</w:t>
        </w:r>
      </w:hyperlink>
    </w:p>
    <w:p>
      <w:pPr>
        <w:pStyle w:val="ListParagraph"/>
        <w:numPr>
          <w:ilvl w:val="0"/>
          <w:numId w:val="1"/>
        </w:numPr>
        <w:spacing w:after="40"/>
      </w:pPr>
      <w:r>
        <w:t xml:space="preserve">NIST, </w:t>
      </w:r>
      <w:r>
        <w:rPr>
          <w:i/>
          <w:iCs/>
        </w:rPr>
        <w:t xml:space="preserve">AI Risk Management Framework (AI RMF 1.0)</w:t>
      </w:r>
      <w:r>
        <w:t xml:space="preserve"> — </w:t>
      </w:r>
      <w:hyperlink w:history="1" r:id="rIdop20dxnzh3lfotzap39e4">
        <w:r>
          <w:rPr>
            <w:rStyle w:val="Hyperlink"/>
          </w:rPr>
          <w:t xml:space="preserve">nist.gov</w:t>
        </w:r>
      </w:hyperlink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Last updated October 27, 2026 · This is an educational template, not legal advice.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tbtr05xftam5reluqh9" Type="http://schemas.openxmlformats.org/officeDocument/2006/relationships/hyperlink" Target="https://sanctumshield.com/resources/agentic-governance/agent-aup-one-pager.html" TargetMode="External"/><Relationship Id="rIdajmlwkh1h623lja6i0us-" Type="http://schemas.openxmlformats.org/officeDocument/2006/relationships/hyperlink" Target="https://genai.owasp.org/resource/owasp-top-10-for-agentic-applications-for-2026/" TargetMode="External"/><Relationship Id="rIdtrgkzvmigubokqvtgmbce" Type="http://schemas.openxmlformats.org/officeDocument/2006/relationships/hyperlink" Target="https://cloudsecurityalliance.org/blog/2026/02/02/the-agentic-trust-framework-zero-trust-governance-for-ai-agents" TargetMode="External"/><Relationship Id="rIdbk7xguomp2rgnlwihb-7q" Type="http://schemas.openxmlformats.org/officeDocument/2006/relationships/hyperlink" Target="https://www.cequence.ai/agentic-zero-trust/" TargetMode="External"/><Relationship Id="rIdop20dxnzh3lfotzap39e4" Type="http://schemas.openxmlformats.org/officeDocument/2006/relationships/hyperlink" Target="https://www.nist.gov/itl/ai-risk-management-framework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2026-10-27T05:59:25.407Z</dcterms:created>
  <dcterms:modified xsi:type="dcterms:W3CDTF">2026-10-27T05:59:25.407Z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